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湖南-贵州电力灵活互济工程第一批换流站设备、材料公开招标项目通风空调系统投标答疑</w:t>
      </w:r>
    </w:p>
    <w:p>
      <w:pPr>
        <w:numPr>
          <w:ilvl w:val="0"/>
          <w:numId w:val="0"/>
        </w:numPr>
        <w:bidi w:val="0"/>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致招标人中国南方电网有限责任公司超高压输电公司：</w:t>
      </w:r>
    </w:p>
    <w:p>
      <w:pPr>
        <w:numPr>
          <w:ilvl w:val="0"/>
          <w:numId w:val="0"/>
        </w:numPr>
        <w:bidi w:val="0"/>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贵公司湖南-贵州电力灵活互济工程（湘黔背靠背换流站工程）采购编号：CG0100022002272527中序号4标的名称：通风空调系统，标包名称：通风空调系统1。我公司在投标文件编制中有以下问题，需要招标人澄清：</w:t>
      </w:r>
    </w:p>
    <w:p>
      <w:pPr>
        <w:numPr>
          <w:ilvl w:val="0"/>
          <w:numId w:val="0"/>
        </w:numPr>
        <w:bidi w:val="0"/>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1、请招标人明确本项目是总价包干还是按实结算，如按实结算，投标人以招标人清单报价即可，如总价包干，那么招标人清单项、工程量与图纸存在差异如何处理。</w:t>
      </w:r>
    </w:p>
    <w:p>
      <w:pPr>
        <w:numPr>
          <w:ilvl w:val="0"/>
          <w:numId w:val="0"/>
        </w:numPr>
        <w:bidi w:val="0"/>
        <w:spacing w:line="360" w:lineRule="auto"/>
        <w:ind w:firstLine="420" w:firstLineChars="0"/>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答复：通风空调系统报价为总价包干，投标人根据招标文件技术规范书及相关附件资料综合判断作出合理报价。</w:t>
      </w:r>
    </w:p>
    <w:p>
      <w:pPr>
        <w:numPr>
          <w:ilvl w:val="0"/>
          <w:numId w:val="0"/>
        </w:numPr>
        <w:snapToGrid w:val="0"/>
        <w:spacing w:line="360" w:lineRule="auto"/>
        <w:ind w:firstLine="420" w:firstLineChars="0"/>
        <w:outlineLvl w:val="1"/>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通风空调系统技术规范书中，表1-1，单元1阀厅通风空调系统设备规格及数量表，表1-2 ，单元2阀厅通风空调系统设备规格及数量表第47项,表1-5其他建筑物通风空调系统设备规格及数量表,融冰阀室第9项、500kV继电器室#1、500kV继电器室#3第9项、500kV继电器室#2、10kV及380V配电室第7项、一次备品库及阀备品库第5项，空调配电及就地控制系统中需要包含电缆，但是招标文件中没有图纸，无法确定电缆的需要量，该系统价格无法准确计算。请招标单位提供对应图纸以及修正后最终完整工程量清单。</w:t>
      </w:r>
    </w:p>
    <w:p>
      <w:pPr>
        <w:bidi w:val="0"/>
        <w:spacing w:line="24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067935" cy="623570"/>
            <wp:effectExtent l="0" t="0" r="698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4"/>
                    <a:stretch>
                      <a:fillRect/>
                    </a:stretch>
                  </pic:blipFill>
                  <pic:spPr>
                    <a:xfrm>
                      <a:off x="0" y="0"/>
                      <a:ext cx="5067935" cy="62357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4979670" cy="520065"/>
            <wp:effectExtent l="0" t="0" r="3810" b="133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a:stretch>
                      <a:fillRect/>
                    </a:stretch>
                  </pic:blipFill>
                  <pic:spPr>
                    <a:xfrm>
                      <a:off x="0" y="0"/>
                      <a:ext cx="4979670" cy="520065"/>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4995545" cy="516890"/>
            <wp:effectExtent l="0" t="0" r="3175"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4995545" cy="51689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165725" cy="470535"/>
            <wp:effectExtent l="0" t="0" r="63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tretch>
                      <a:fillRect/>
                    </a:stretch>
                  </pic:blipFill>
                  <pic:spPr>
                    <a:xfrm>
                      <a:off x="0" y="0"/>
                      <a:ext cx="5165725" cy="470535"/>
                    </a:xfrm>
                    <a:prstGeom prst="rect">
                      <a:avLst/>
                    </a:prstGeom>
                    <a:noFill/>
                    <a:ln>
                      <a:noFill/>
                    </a:ln>
                  </pic:spPr>
                </pic:pic>
              </a:graphicData>
            </a:graphic>
          </wp:inline>
        </w:drawing>
      </w:r>
    </w:p>
    <w:p>
      <w:pPr>
        <w:bidi w:val="0"/>
        <w:spacing w:line="240" w:lineRule="auto"/>
        <w:jc w:val="both"/>
        <w:rPr>
          <w:rFonts w:hint="default" w:ascii="宋体" w:hAnsi="宋体" w:eastAsia="宋体" w:cs="宋体"/>
          <w:color w:val="FF0000"/>
          <w:sz w:val="24"/>
          <w:szCs w:val="24"/>
          <w:lang w:val="en-US" w:eastAsia="zh-CN"/>
        </w:rPr>
      </w:pPr>
      <w:r>
        <w:rPr>
          <w:rFonts w:hint="eastAsia" w:ascii="宋体" w:hAnsi="宋体" w:eastAsia="宋体" w:cs="宋体"/>
          <w:b/>
          <w:bCs/>
          <w:color w:val="FF0000"/>
          <w:sz w:val="24"/>
          <w:szCs w:val="24"/>
          <w:lang w:val="en-US" w:eastAsia="zh-CN"/>
        </w:rPr>
        <w:t>答复：</w:t>
      </w:r>
      <w:r>
        <w:rPr>
          <w:rFonts w:hint="eastAsia" w:ascii="宋体" w:hAnsi="宋体" w:eastAsia="宋体" w:cs="宋体"/>
          <w:color w:val="FF0000"/>
          <w:sz w:val="24"/>
          <w:szCs w:val="24"/>
          <w:lang w:val="en-US" w:eastAsia="zh-CN"/>
        </w:rPr>
        <w:t>现阶段尚未有详细布置，投标方参考相关建筑图自行估算工程量。配电控制柜进线电源由甲方提供，出线段由投标方提供。</w:t>
      </w:r>
    </w:p>
    <w:p>
      <w:pPr>
        <w:bidi w:val="0"/>
        <w:rPr>
          <w:rFonts w:hint="eastAsia" w:ascii="宋体" w:hAnsi="宋体" w:eastAsia="宋体" w:cs="宋体"/>
          <w:lang w:val="en-US" w:eastAsia="zh-CN"/>
        </w:rPr>
      </w:pPr>
    </w:p>
    <w:p>
      <w:pPr>
        <w:numPr>
          <w:ilvl w:val="0"/>
          <w:numId w:val="0"/>
        </w:numPr>
        <w:snapToGrid w:val="0"/>
        <w:spacing w:line="360" w:lineRule="auto"/>
        <w:ind w:firstLine="420" w:firstLineChars="0"/>
        <w:outlineLvl w:val="1"/>
        <w:rPr>
          <w:rFonts w:hint="eastAsia" w:ascii="宋体" w:hAnsi="宋体" w:eastAsia="宋体" w:cs="宋体"/>
          <w:sz w:val="24"/>
          <w:szCs w:val="24"/>
          <w:lang w:val="en-US" w:eastAsia="zh-CN"/>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通风空调系统技术规范书中，</w:t>
      </w:r>
      <w:r>
        <w:rPr>
          <w:rFonts w:hint="eastAsia" w:ascii="宋体" w:hAnsi="宋体" w:eastAsia="宋体" w:cs="宋体"/>
          <w:sz w:val="24"/>
          <w:szCs w:val="24"/>
          <w:lang w:val="en-US" w:eastAsia="zh-CN"/>
        </w:rPr>
        <w:t>表1-3， 主控楼通风空调系统设备规格及数量表（仅设备生产用房）第17项，表1-4，辅控楼通风空调系统设备规格及数量表第12项，表1-5其他建筑物通风空调系统设备规格及数量表,一次备品库及阀备品库第4项，风系统附件中需要包含风管、风口、防火阀、手动调节阀、电动风阀、风口、不燃超细玻璃保温棉、耐火帆布软接、防火板等，但是招标文件中没有图纸，无法确定对应配件所需工程量，该项价格无法准确计算。请招标单位提供对应图纸以及修正后最终完整工程量清单。</w:t>
      </w:r>
    </w:p>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272405" cy="558800"/>
            <wp:effectExtent l="0" t="0" r="63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272405" cy="55880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73040" cy="580390"/>
            <wp:effectExtent l="0" t="0" r="0"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273040" cy="58039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67960" cy="549275"/>
            <wp:effectExtent l="0" t="0" r="5080" b="146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tretch>
                      <a:fillRect/>
                    </a:stretch>
                  </pic:blipFill>
                  <pic:spPr>
                    <a:xfrm>
                      <a:off x="0" y="0"/>
                      <a:ext cx="5267960" cy="549275"/>
                    </a:xfrm>
                    <a:prstGeom prst="rect">
                      <a:avLst/>
                    </a:prstGeom>
                    <a:noFill/>
                    <a:ln>
                      <a:noFill/>
                    </a:ln>
                  </pic:spPr>
                </pic:pic>
              </a:graphicData>
            </a:graphic>
          </wp:inline>
        </w:drawing>
      </w:r>
    </w:p>
    <w:p>
      <w:pPr>
        <w:bidi w:val="0"/>
        <w:spacing w:line="240" w:lineRule="auto"/>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答复：现阶段尚未有详细布置，投标方参考相关建筑图自行估算工程量。</w:t>
      </w:r>
    </w:p>
    <w:p>
      <w:pPr>
        <w:bidi w:val="0"/>
        <w:rPr>
          <w:rFonts w:hint="eastAsia" w:ascii="宋体" w:hAnsi="宋体" w:eastAsia="宋体" w:cs="宋体"/>
          <w:lang w:val="en-US" w:eastAsia="zh-CN"/>
        </w:rPr>
      </w:pPr>
    </w:p>
    <w:p>
      <w:pPr>
        <w:numPr>
          <w:ilvl w:val="0"/>
          <w:numId w:val="0"/>
        </w:numPr>
        <w:snapToGrid w:val="0"/>
        <w:spacing w:line="360" w:lineRule="auto"/>
        <w:ind w:firstLine="420" w:firstLineChars="0"/>
        <w:outlineLvl w:val="1"/>
        <w:rPr>
          <w:rFonts w:hint="eastAsia" w:ascii="宋体" w:hAnsi="宋体" w:eastAsia="宋体" w:cs="宋体"/>
          <w:sz w:val="24"/>
          <w:szCs w:val="24"/>
          <w:lang w:val="en-US" w:eastAsia="zh-CN"/>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通风空调系统技术规范书中，表</w:t>
      </w:r>
      <w:r>
        <w:rPr>
          <w:rFonts w:hint="eastAsia" w:ascii="宋体" w:hAnsi="宋体" w:eastAsia="宋体" w:cs="宋体"/>
          <w:sz w:val="24"/>
          <w:szCs w:val="24"/>
          <w:lang w:val="en-US" w:eastAsia="zh-CN"/>
        </w:rPr>
        <w:t>1-3， 主控楼通风空调系统设备规格及数量表（仅设备生产用房）第18项，表1-4，辅控楼通风空调系统设备规格及数量表第13项，PVC成品冷媒管专用槽盒，招标文件中没有图纸，无法确定该项材料所需工程量，该项价格无法准确计算。请招标单位提供对应图纸以及修正后最终完整工程量清单。</w:t>
      </w:r>
    </w:p>
    <w:p>
      <w:pPr>
        <w:bidi w:val="0"/>
        <w:spacing w:line="360" w:lineRule="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267960" cy="519430"/>
            <wp:effectExtent l="0" t="0" r="508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267960" cy="51943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69865" cy="414020"/>
            <wp:effectExtent l="0" t="0" r="3175"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269865" cy="414020"/>
                    </a:xfrm>
                    <a:prstGeom prst="rect">
                      <a:avLst/>
                    </a:prstGeom>
                    <a:noFill/>
                    <a:ln>
                      <a:noFill/>
                    </a:ln>
                  </pic:spPr>
                </pic:pic>
              </a:graphicData>
            </a:graphic>
          </wp:inline>
        </w:drawing>
      </w:r>
    </w:p>
    <w:p>
      <w:pPr>
        <w:bidi w:val="0"/>
        <w:spacing w:line="240" w:lineRule="auto"/>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答复：现阶段尚未有详细布置，投标方参考相关建筑图自行估算工程量。</w:t>
      </w:r>
    </w:p>
    <w:p>
      <w:pPr>
        <w:bidi w:val="0"/>
        <w:rPr>
          <w:rFonts w:hint="eastAsia" w:ascii="宋体" w:hAnsi="宋体" w:eastAsia="宋体" w:cs="宋体"/>
          <w:lang w:val="en-US" w:eastAsia="zh-CN"/>
        </w:rPr>
      </w:pPr>
    </w:p>
    <w:p>
      <w:pPr>
        <w:numPr>
          <w:ilvl w:val="0"/>
          <w:numId w:val="0"/>
        </w:numPr>
        <w:snapToGrid w:val="0"/>
        <w:spacing w:line="360" w:lineRule="auto"/>
        <w:ind w:firstLine="420" w:firstLineChars="0"/>
        <w:outlineLvl w:val="1"/>
        <w:rPr>
          <w:rFonts w:hint="eastAsia" w:ascii="宋体" w:hAnsi="宋体" w:eastAsia="宋体" w:cs="宋体"/>
          <w:sz w:val="24"/>
          <w:szCs w:val="24"/>
          <w:lang w:val="en-US" w:eastAsia="zh-CN"/>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通风空调系统技术规范书中，</w:t>
      </w:r>
      <w:r>
        <w:rPr>
          <w:rFonts w:hint="eastAsia" w:ascii="宋体" w:hAnsi="宋体" w:eastAsia="宋体" w:cs="宋体"/>
          <w:sz w:val="24"/>
          <w:szCs w:val="24"/>
          <w:lang w:val="en-US" w:eastAsia="zh-CN"/>
        </w:rPr>
        <w:t>表1-3， 主控楼通风空调系统设备规格及数量表（仅设备生产用房）第19项，表1-4，辅控楼通风空调系统设备规格及数量表第14项，表1-5其他建筑物通风空调系统设备规格及数量表,融冰阀室第8项、500kV继电器室#1、500kV继电器室#3、10kV及380V配电室第8项、500kV继电器室#2、一次备品库及阀备品库第6项，安装材料中需要包含管道支架，但招标文件中没有图纸，没有该楼所需管道工程量，无法确定该项材料所需工程量，该项价格无法准确计算。请招标单位提供对应图纸以及修正后最终完整工程量清单。</w:t>
      </w:r>
    </w:p>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272405" cy="567690"/>
            <wp:effectExtent l="0" t="0" r="63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5272405" cy="56769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69230" cy="392430"/>
            <wp:effectExtent l="0" t="0" r="381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5269230" cy="39243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69230" cy="363220"/>
            <wp:effectExtent l="0" t="0" r="381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5269230" cy="36322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70500" cy="381635"/>
            <wp:effectExtent l="0" t="0" r="2540" b="146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5270500" cy="381635"/>
                    </a:xfrm>
                    <a:prstGeom prst="rect">
                      <a:avLst/>
                    </a:prstGeom>
                    <a:noFill/>
                    <a:ln>
                      <a:noFill/>
                    </a:ln>
                  </pic:spPr>
                </pic:pic>
              </a:graphicData>
            </a:graphic>
          </wp:inline>
        </w:drawing>
      </w:r>
    </w:p>
    <w:p>
      <w:pPr>
        <w:numPr>
          <w:ilvl w:val="0"/>
          <w:numId w:val="0"/>
        </w:numPr>
        <w:snapToGrid w:val="0"/>
        <w:spacing w:line="360" w:lineRule="auto"/>
        <w:ind w:firstLine="420" w:firstLineChars="0"/>
        <w:outlineLvl w:val="1"/>
        <w:rPr>
          <w:rFonts w:hint="eastAsia" w:ascii="宋体" w:hAnsi="宋体" w:eastAsia="宋体" w:cs="宋体"/>
          <w:kern w:val="2"/>
          <w:sz w:val="24"/>
          <w:szCs w:val="24"/>
          <w:lang w:val="en-US" w:eastAsia="zh-CN" w:bidi="ar-SA"/>
        </w:rPr>
      </w:pPr>
    </w:p>
    <w:p>
      <w:pPr>
        <w:bidi w:val="0"/>
        <w:spacing w:line="240" w:lineRule="auto"/>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答复：现阶段尚未有详细布置，投标方参考相关建筑图自行估算工程量。</w:t>
      </w:r>
    </w:p>
    <w:p>
      <w:pPr>
        <w:bidi w:val="0"/>
        <w:spacing w:line="240" w:lineRule="auto"/>
        <w:jc w:val="both"/>
        <w:rPr>
          <w:rFonts w:hint="eastAsia" w:ascii="宋体" w:hAnsi="宋体" w:eastAsia="宋体" w:cs="宋体"/>
          <w:color w:val="FF0000"/>
          <w:sz w:val="24"/>
          <w:szCs w:val="24"/>
          <w:lang w:val="en-US" w:eastAsia="zh-CN"/>
        </w:rPr>
      </w:pPr>
    </w:p>
    <w:p>
      <w:pPr>
        <w:bidi w:val="0"/>
        <w:spacing w:line="240" w:lineRule="auto"/>
        <w:jc w:val="both"/>
        <w:rPr>
          <w:rFonts w:hint="eastAsia" w:ascii="宋体" w:hAnsi="宋体" w:eastAsia="宋体" w:cs="宋体"/>
          <w:sz w:val="24"/>
          <w:szCs w:val="24"/>
          <w:lang w:val="en-US" w:eastAsia="zh-CN"/>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6、</w:t>
      </w:r>
      <w:r>
        <w:rPr>
          <w:rFonts w:hint="eastAsia" w:ascii="宋体" w:hAnsi="宋体" w:eastAsia="宋体" w:cs="宋体"/>
          <w:color w:val="000000" w:themeColor="text1"/>
          <w:sz w:val="24"/>
          <w:szCs w:val="24"/>
          <w:lang w:val="en-US" w:eastAsia="zh-CN"/>
          <w14:textFill>
            <w14:solidFill>
              <w14:schemeClr w14:val="tx1"/>
            </w14:solidFill>
          </w14:textFill>
        </w:rPr>
        <w:t>通风空调系统技术规范书中，</w:t>
      </w:r>
      <w:r>
        <w:rPr>
          <w:rFonts w:hint="eastAsia" w:ascii="宋体" w:hAnsi="宋体" w:eastAsia="宋体" w:cs="宋体"/>
          <w:sz w:val="24"/>
          <w:szCs w:val="24"/>
          <w:lang w:val="en-US" w:eastAsia="zh-CN"/>
        </w:rPr>
        <w:t>表1-1，单元1阀厅通风空调系统设备规格及数量表第43项，表1-2 ，单元2阀厅通风空调系统设备规格及数量表第43项，表1-3，主控楼通风空调系统设备规格及数量表（仅设备生产用房）第20项，表1-4，辅控楼通风空调系统设备规格及数量表第15项，成品抗震支架，该项没有图纸无法确认抗震支架的规格和工程量，该项价格无法准确计算。请招标单位提供对应图纸以及修正后最终完整工程量清单。</w:t>
      </w:r>
    </w:p>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267960" cy="341630"/>
            <wp:effectExtent l="0" t="0" r="508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stretch>
                      <a:fillRect/>
                    </a:stretch>
                  </pic:blipFill>
                  <pic:spPr>
                    <a:xfrm>
                      <a:off x="0" y="0"/>
                      <a:ext cx="5267960" cy="34163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70500" cy="54864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5270500" cy="548640"/>
                    </a:xfrm>
                    <a:prstGeom prst="rect">
                      <a:avLst/>
                    </a:prstGeom>
                    <a:noFill/>
                    <a:ln>
                      <a:noFill/>
                    </a:ln>
                  </pic:spPr>
                </pic:pic>
              </a:graphicData>
            </a:graphic>
          </wp:inline>
        </w:drawing>
      </w:r>
      <w:r>
        <w:rPr>
          <w:rFonts w:hint="eastAsia" w:ascii="宋体" w:hAnsi="宋体" w:eastAsia="宋体" w:cs="宋体"/>
          <w:sz w:val="24"/>
          <w:szCs w:val="24"/>
        </w:rPr>
        <w:drawing>
          <wp:inline distT="0" distB="0" distL="114300" distR="114300">
            <wp:extent cx="5268595" cy="400050"/>
            <wp:effectExtent l="0" t="0" r="4445" b="1143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5268595" cy="400050"/>
                    </a:xfrm>
                    <a:prstGeom prst="rect">
                      <a:avLst/>
                    </a:prstGeom>
                    <a:noFill/>
                    <a:ln>
                      <a:noFill/>
                    </a:ln>
                  </pic:spPr>
                </pic:pic>
              </a:graphicData>
            </a:graphic>
          </wp:inline>
        </w:drawing>
      </w:r>
    </w:p>
    <w:p>
      <w:pPr>
        <w:bidi w:val="0"/>
        <w:spacing w:line="240" w:lineRule="auto"/>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答复：现阶段尚未有详细布置，投标方参考相关建筑图自行估算工程量。</w:t>
      </w:r>
    </w:p>
    <w:p>
      <w:pPr>
        <w:bidi w:val="0"/>
        <w:spacing w:line="360" w:lineRule="auto"/>
        <w:ind w:firstLine="420" w:firstLineChars="0"/>
        <w:rPr>
          <w:rFonts w:hint="eastAsia" w:ascii="宋体" w:hAnsi="宋体" w:eastAsia="宋体" w:cs="宋体"/>
          <w:sz w:val="24"/>
          <w:szCs w:val="24"/>
          <w:lang w:val="en-US" w:eastAsia="zh-CN"/>
        </w:rPr>
      </w:pPr>
    </w:p>
    <w:p>
      <w:pPr>
        <w:bidi w:val="0"/>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招标文件评分办法（综合评估法）中，技术评分标准的工艺配置、功能要求、性能指标三项评分均要求完全满足技术规范书对应的工艺配置、功能要求、性能要求。但技术规范书中未对“工艺配置”“功能要求”作出相关阐述，且评分要求三项评审不得重复，请招标人明确相关工艺配置及功能要求。</w:t>
      </w:r>
    </w:p>
    <w:p>
      <w:pPr>
        <w:bidi w:val="0"/>
        <w:spacing w:line="360" w:lineRule="auto"/>
        <w:jc w:val="center"/>
        <w:rPr>
          <w:rFonts w:hint="eastAsia" w:ascii="宋体" w:hAnsi="宋体" w:eastAsia="宋体" w:cs="宋体"/>
          <w:sz w:val="24"/>
          <w:szCs w:val="24"/>
          <w:lang w:val="en-US" w:eastAsia="zh-CN"/>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sz w:val="24"/>
          <w:szCs w:val="24"/>
          <w:lang w:val="en-US" w:eastAsia="zh-CN"/>
        </w:rPr>
        <w:drawing>
          <wp:inline distT="0" distB="0" distL="114300" distR="114300">
            <wp:extent cx="6071235" cy="7383780"/>
            <wp:effectExtent l="0" t="0" r="952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6071235" cy="7383780"/>
                    </a:xfrm>
                    <a:prstGeom prst="rect">
                      <a:avLst/>
                    </a:prstGeom>
                    <a:noFill/>
                    <a:ln>
                      <a:noFill/>
                    </a:ln>
                  </pic:spPr>
                </pic:pic>
              </a:graphicData>
            </a:graphic>
          </wp:inline>
        </w:drawing>
      </w:r>
      <w:r>
        <w:rPr>
          <w:rFonts w:hint="eastAsia" w:ascii="宋体" w:hAnsi="宋体" w:eastAsia="宋体" w:cs="宋体"/>
          <w:sz w:val="24"/>
          <w:szCs w:val="24"/>
          <w:lang w:val="en-US" w:eastAsia="zh-CN"/>
        </w:rPr>
        <w:drawing>
          <wp:inline distT="0" distB="0" distL="114300" distR="114300">
            <wp:extent cx="5460365" cy="8568690"/>
            <wp:effectExtent l="0" t="0" r="10795"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1"/>
                    <a:stretch>
                      <a:fillRect/>
                    </a:stretch>
                  </pic:blipFill>
                  <pic:spPr>
                    <a:xfrm>
                      <a:off x="0" y="0"/>
                      <a:ext cx="5460365" cy="8568690"/>
                    </a:xfrm>
                    <a:prstGeom prst="rect">
                      <a:avLst/>
                    </a:prstGeom>
                    <a:noFill/>
                    <a:ln>
                      <a:noFill/>
                    </a:ln>
                  </pic:spPr>
                </pic:pic>
              </a:graphicData>
            </a:graphic>
          </wp:inline>
        </w:drawing>
      </w:r>
    </w:p>
    <w:p>
      <w:pPr>
        <w:numPr>
          <w:ilvl w:val="0"/>
          <w:numId w:val="0"/>
        </w:numPr>
        <w:bidi w:val="0"/>
        <w:spacing w:line="360" w:lineRule="auto"/>
        <w:ind w:firstLine="420" w:firstLineChars="0"/>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答复：请根据招标文件要求和自身实际情况响应。</w:t>
      </w:r>
    </w:p>
    <w:p>
      <w:pPr>
        <w:numPr>
          <w:ilvl w:val="0"/>
          <w:numId w:val="0"/>
        </w:numPr>
        <w:bidi w:val="0"/>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8、</w:t>
      </w:r>
      <w:r>
        <w:rPr>
          <w:rFonts w:hint="eastAsia" w:ascii="宋体" w:hAnsi="宋体" w:eastAsia="宋体" w:cs="宋体"/>
          <w:sz w:val="24"/>
          <w:szCs w:val="24"/>
          <w:lang w:val="en-US" w:eastAsia="zh-CN"/>
        </w:rPr>
        <w:t>请招标人提供Word版招标文件，以便投标人制作投标文件。</w:t>
      </w:r>
    </w:p>
    <w:p>
      <w:pPr>
        <w:numPr>
          <w:ilvl w:val="0"/>
          <w:numId w:val="0"/>
        </w:numPr>
        <w:bidi w:val="0"/>
        <w:spacing w:line="360" w:lineRule="auto"/>
        <w:ind w:firstLine="420" w:firstLineChars="0"/>
        <w:rPr>
          <w:rFonts w:hint="eastAsia" w:ascii="宋体" w:hAnsi="宋体" w:eastAsia="宋体" w:cs="宋体"/>
          <w:sz w:val="24"/>
          <w:szCs w:val="24"/>
          <w:lang w:val="en-US" w:eastAsia="zh-CN"/>
        </w:rPr>
      </w:pPr>
      <w:r>
        <w:rPr>
          <w:rFonts w:hint="eastAsia" w:ascii="宋体" w:hAnsi="宋体" w:eastAsia="宋体" w:cs="宋体"/>
          <w:color w:val="FF0000"/>
          <w:sz w:val="24"/>
          <w:szCs w:val="24"/>
          <w:lang w:val="en-US" w:eastAsia="zh-CN"/>
        </w:rPr>
        <w:t>答复：在投标工具下载、编辑和上传各章节的投标文件时就是word版本。</w:t>
      </w:r>
    </w:p>
    <w:p>
      <w:pPr>
        <w:keepNext w:val="0"/>
        <w:keepLines w:val="0"/>
        <w:widowControl/>
        <w:suppressLineNumbers w:val="0"/>
        <w:spacing w:line="360" w:lineRule="auto"/>
        <w:ind w:firstLine="42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9、招标文件与技术规范书的业绩要求前后不一致，具有同类项目供货业绩，业绩范围太局限，以此作为业绩要求构成指向性、排他性门槛，有违反招投标公平公正原则，限制市场充分竞争的性质。</w:t>
      </w:r>
    </w:p>
    <w:p>
      <w:pPr>
        <w:keepNext w:val="0"/>
        <w:keepLines w:val="0"/>
        <w:widowControl/>
        <w:suppressLineNumbers w:val="0"/>
        <w:spacing w:line="360" w:lineRule="auto"/>
        <w:ind w:firstLine="420" w:firstLineChars="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建议招标人将类似业绩范围明确为：有风冷热泵螺杆式机组供货或供货带安装业绩即可</w:t>
      </w:r>
      <w:r>
        <w:rPr>
          <w:rFonts w:hint="eastAsia" w:ascii="宋体" w:hAnsi="宋体" w:eastAsia="宋体" w:cs="宋体"/>
          <w:sz w:val="24"/>
          <w:szCs w:val="24"/>
          <w:lang w:val="en-US" w:eastAsia="zh-CN"/>
        </w:rPr>
        <w:t>。</w:t>
      </w:r>
    </w:p>
    <w:p>
      <w:pPr>
        <w:numPr>
          <w:ilvl w:val="0"/>
          <w:numId w:val="0"/>
        </w:num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drawing>
          <wp:inline distT="0" distB="0" distL="114300" distR="114300">
            <wp:extent cx="6089650" cy="2047875"/>
            <wp:effectExtent l="0" t="0" r="6350" b="9525"/>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22"/>
                    <a:stretch>
                      <a:fillRect/>
                    </a:stretch>
                  </pic:blipFill>
                  <pic:spPr>
                    <a:xfrm>
                      <a:off x="0" y="0"/>
                      <a:ext cx="6089650" cy="2047875"/>
                    </a:xfrm>
                    <a:prstGeom prst="rect">
                      <a:avLst/>
                    </a:prstGeom>
                    <a:noFill/>
                    <a:ln>
                      <a:noFill/>
                    </a:ln>
                  </pic:spPr>
                </pic:pic>
              </a:graphicData>
            </a:graphic>
          </wp:inline>
        </w:drawing>
      </w:r>
    </w:p>
    <w:p>
      <w:pPr>
        <w:numPr>
          <w:ilvl w:val="0"/>
          <w:numId w:val="0"/>
        </w:num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871210" cy="3080385"/>
            <wp:effectExtent l="0" t="0" r="11430" b="1333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23"/>
                    <a:stretch>
                      <a:fillRect/>
                    </a:stretch>
                  </pic:blipFill>
                  <pic:spPr>
                    <a:xfrm>
                      <a:off x="0" y="0"/>
                      <a:ext cx="5871210" cy="3080385"/>
                    </a:xfrm>
                    <a:prstGeom prst="rect">
                      <a:avLst/>
                    </a:prstGeom>
                    <a:noFill/>
                    <a:ln>
                      <a:noFill/>
                    </a:ln>
                  </pic:spPr>
                </pic:pic>
              </a:graphicData>
            </a:graphic>
          </wp:inline>
        </w:drawing>
      </w:r>
    </w:p>
    <w:p>
      <w:pPr>
        <w:keepNext w:val="0"/>
        <w:keepLines w:val="0"/>
        <w:widowControl/>
        <w:suppressLineNumbers w:val="0"/>
        <w:jc w:val="left"/>
        <w:rPr>
          <w:rFonts w:hint="eastAsia" w:ascii="宋体" w:hAnsi="宋体" w:eastAsia="宋体" w:cs="宋体"/>
          <w:color w:val="FF0000"/>
          <w:sz w:val="24"/>
          <w:szCs w:val="24"/>
          <w:lang w:val="en-US" w:eastAsia="zh-CN"/>
        </w:rPr>
      </w:pPr>
    </w:p>
    <w:p>
      <w:pPr>
        <w:keepNext w:val="0"/>
        <w:keepLines w:val="0"/>
        <w:widowControl/>
        <w:suppressLineNumbers w:val="0"/>
        <w:jc w:val="left"/>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答复：投标人须知前附表11.1条规定：1.如招标文件正文与技术规范书中的内容有差异，技术参数、技术标准等以技术规范书为准；业绩要求、监造、检验、安装调试、质量保证等其他内容以招标文件正文为准。</w:t>
      </w:r>
    </w:p>
    <w:p>
      <w:pPr>
        <w:keepNext w:val="0"/>
        <w:keepLines w:val="0"/>
        <w:widowControl/>
        <w:suppressLineNumbers w:val="0"/>
        <w:jc w:val="left"/>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 xml:space="preserve">    投标人具有同类项目供货业绩，并提供相关证明文件。没有指定行业、区域，没有排他性。</w:t>
      </w:r>
    </w:p>
    <w:p>
      <w:pPr>
        <w:keepNext w:val="0"/>
        <w:keepLines w:val="0"/>
        <w:widowControl/>
        <w:suppressLineNumbers w:val="0"/>
        <w:jc w:val="left"/>
        <w:rPr>
          <w:rFonts w:hint="default" w:ascii="宋体" w:hAnsi="宋体" w:eastAsia="宋体" w:cs="宋体"/>
          <w:color w:val="FF0000"/>
          <w:sz w:val="24"/>
          <w:szCs w:val="24"/>
          <w:lang w:val="en-US" w:eastAsia="zh-CN"/>
        </w:rPr>
      </w:pPr>
    </w:p>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pPr>
        <w:numPr>
          <w:ilvl w:val="0"/>
          <w:numId w:val="0"/>
        </w:num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10、请招标人提供相关自控部分图纸以及修</w:t>
      </w:r>
      <w:r>
        <w:rPr>
          <w:rFonts w:hint="eastAsia" w:ascii="宋体" w:hAnsi="宋体" w:eastAsia="宋体" w:cs="宋体"/>
          <w:sz w:val="24"/>
          <w:szCs w:val="24"/>
          <w:lang w:val="en-US" w:eastAsia="zh-CN"/>
        </w:rPr>
        <w:t>正最终完整工程量清单？</w:t>
      </w:r>
    </w:p>
    <w:p>
      <w:pPr>
        <w:numPr>
          <w:ilvl w:val="0"/>
          <w:numId w:val="0"/>
        </w:num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617845" cy="4632960"/>
            <wp:effectExtent l="0" t="0" r="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24"/>
                    <a:srcRect l="6960" r="6039"/>
                    <a:stretch>
                      <a:fillRect/>
                    </a:stretch>
                  </pic:blipFill>
                  <pic:spPr>
                    <a:xfrm>
                      <a:off x="0" y="0"/>
                      <a:ext cx="5617845" cy="4632960"/>
                    </a:xfrm>
                    <a:prstGeom prst="rect">
                      <a:avLst/>
                    </a:prstGeom>
                    <a:noFill/>
                    <a:ln>
                      <a:noFill/>
                    </a:ln>
                  </pic:spPr>
                </pic:pic>
              </a:graphicData>
            </a:graphic>
          </wp:inline>
        </w:drawing>
      </w:r>
    </w:p>
    <w:p>
      <w:pPr>
        <w:numPr>
          <w:ilvl w:val="0"/>
          <w:numId w:val="0"/>
        </w:numPr>
        <w:bidi w:val="0"/>
        <w:rPr>
          <w:rFonts w:hint="eastAsia" w:ascii="宋体" w:hAnsi="宋体" w:eastAsia="宋体" w:cs="宋体"/>
        </w:rPr>
      </w:pPr>
    </w:p>
    <w:p>
      <w:pPr>
        <w:bidi w:val="0"/>
        <w:spacing w:line="240" w:lineRule="auto"/>
        <w:jc w:val="both"/>
        <w:rPr>
          <w:rFonts w:hint="default" w:ascii="宋体" w:hAnsi="宋体" w:eastAsia="宋体" w:cs="宋体"/>
          <w:lang w:val="en-US" w:eastAsia="zh-CN"/>
        </w:rPr>
      </w:pPr>
      <w:r>
        <w:rPr>
          <w:rFonts w:hint="eastAsia" w:ascii="宋体" w:hAnsi="宋体" w:eastAsia="宋体" w:cs="宋体"/>
          <w:color w:val="FF0000"/>
          <w:sz w:val="24"/>
          <w:szCs w:val="24"/>
          <w:lang w:val="en-US" w:eastAsia="zh-CN"/>
        </w:rPr>
        <w:t>答复：本招标范围内相关通风空调自控系统由投标方深化设计，投标方自行进行工程量估算。</w:t>
      </w:r>
    </w:p>
    <w:p>
      <w:pPr>
        <w:numPr>
          <w:ilvl w:val="0"/>
          <w:numId w:val="0"/>
        </w:numPr>
        <w:adjustRightInd/>
        <w:spacing w:line="360" w:lineRule="auto"/>
        <w:ind w:firstLine="420" w:firstLineChars="200"/>
        <w:jc w:val="both"/>
        <w:textAlignment w:val="auto"/>
        <w:rPr>
          <w:rFonts w:hint="eastAsia" w:ascii="宋体" w:hAnsi="宋体" w:eastAsia="宋体" w:cs="宋体"/>
          <w:color w:val="FF0000"/>
          <w:lang w:val="en-US" w:eastAsia="zh-CN"/>
        </w:rPr>
      </w:pPr>
    </w:p>
    <w:p>
      <w:pPr>
        <w:numPr>
          <w:ilvl w:val="0"/>
          <w:numId w:val="0"/>
        </w:numPr>
        <w:adjustRightInd/>
        <w:spacing w:line="360" w:lineRule="auto"/>
        <w:ind w:firstLine="420" w:firstLineChars="200"/>
        <w:jc w:val="both"/>
        <w:textAlignment w:val="auto"/>
        <w:rPr>
          <w:rFonts w:hint="eastAsia" w:ascii="宋体" w:hAnsi="宋体" w:eastAsia="宋体" w:cs="宋体"/>
          <w:b w:val="0"/>
          <w:bCs/>
          <w:kern w:val="2"/>
          <w:sz w:val="24"/>
          <w:szCs w:val="24"/>
          <w:lang w:val="en-US" w:eastAsia="zh-CN"/>
        </w:rPr>
      </w:pPr>
      <w:r>
        <w:rPr>
          <w:rFonts w:hint="eastAsia" w:ascii="宋体" w:hAnsi="宋体" w:eastAsia="宋体" w:cs="宋体"/>
          <w:color w:val="000000" w:themeColor="text1"/>
          <w:lang w:val="en-US" w:eastAsia="zh-CN"/>
          <w14:textFill>
            <w14:solidFill>
              <w14:schemeClr w14:val="tx1"/>
            </w14:solidFill>
          </w14:textFill>
        </w:rPr>
        <w:t>11、</w:t>
      </w:r>
      <w:r>
        <w:rPr>
          <w:rFonts w:hint="eastAsia" w:ascii="宋体" w:hAnsi="宋体" w:eastAsia="宋体" w:cs="宋体"/>
          <w:b w:val="0"/>
          <w:bCs/>
          <w:color w:val="000000" w:themeColor="text1"/>
          <w:kern w:val="2"/>
          <w:sz w:val="24"/>
          <w:szCs w:val="24"/>
          <w14:textFill>
            <w14:solidFill>
              <w14:schemeClr w14:val="tx1"/>
            </w14:solidFill>
          </w14:textFill>
        </w:rPr>
        <w:t>通风空调系统技术规范书</w:t>
      </w:r>
      <w:bookmarkStart w:id="0" w:name="_Toc220074653"/>
      <w:bookmarkStart w:id="1" w:name="_Toc526079143"/>
      <w:bookmarkStart w:id="2" w:name="_Toc282788466"/>
      <w:bookmarkStart w:id="3" w:name="_Toc526079249"/>
      <w:bookmarkStart w:id="4" w:name="_Toc279850584"/>
      <w:bookmarkStart w:id="5" w:name="_Toc526064859"/>
      <w:bookmarkStart w:id="6" w:name="_Toc279850171"/>
      <w:r>
        <w:rPr>
          <w:rFonts w:hint="eastAsia" w:ascii="宋体" w:hAnsi="宋体" w:eastAsia="宋体" w:cs="宋体"/>
          <w:b w:val="0"/>
          <w:bCs/>
          <w:color w:val="000000" w:themeColor="text1"/>
          <w:kern w:val="2"/>
          <w:sz w:val="24"/>
          <w:szCs w:val="24"/>
          <w:lang w:val="en-US" w:eastAsia="zh-CN"/>
          <w14:textFill>
            <w14:solidFill>
              <w14:schemeClr w14:val="tx1"/>
            </w14:solidFill>
          </w14:textFill>
        </w:rPr>
        <w:t>要求：</w:t>
      </w:r>
      <w:bookmarkEnd w:id="0"/>
      <w:bookmarkEnd w:id="1"/>
      <w:bookmarkEnd w:id="2"/>
      <w:bookmarkEnd w:id="3"/>
      <w:bookmarkEnd w:id="4"/>
      <w:bookmarkEnd w:id="5"/>
      <w:bookmarkEnd w:id="6"/>
      <w:r>
        <w:rPr>
          <w:rFonts w:hint="eastAsia" w:ascii="宋体" w:hAnsi="宋体" w:eastAsia="宋体" w:cs="宋体"/>
          <w:b/>
          <w:bCs/>
          <w:color w:val="000000"/>
          <w:sz w:val="24"/>
          <w:szCs w:val="24"/>
        </w:rPr>
        <w:t>具体数量以施工图为准</w:t>
      </w:r>
      <w:r>
        <w:rPr>
          <w:rFonts w:hint="eastAsia" w:ascii="宋体" w:hAnsi="宋体" w:eastAsia="宋体" w:cs="宋体"/>
          <w:b/>
          <w:bCs/>
          <w:color w:val="000000"/>
          <w:sz w:val="24"/>
          <w:szCs w:val="24"/>
          <w:lang w:eastAsia="zh-CN"/>
        </w:rPr>
        <w:t>，</w:t>
      </w:r>
      <w:r>
        <w:rPr>
          <w:rFonts w:hint="eastAsia" w:ascii="宋体" w:hAnsi="宋体" w:eastAsia="宋体" w:cs="宋体"/>
          <w:b/>
          <w:bCs w:val="0"/>
          <w:kern w:val="2"/>
          <w:sz w:val="24"/>
          <w:szCs w:val="24"/>
          <w:lang w:val="en-US" w:eastAsia="zh-CN"/>
        </w:rPr>
        <w:t>请提供以下部分的设计施工图：</w:t>
      </w:r>
    </w:p>
    <w:p>
      <w:pPr>
        <w:numPr>
          <w:ilvl w:val="0"/>
          <w:numId w:val="0"/>
        </w:numPr>
        <w:adjustRightInd/>
        <w:spacing w:line="360" w:lineRule="auto"/>
        <w:ind w:leftChars="200"/>
        <w:jc w:val="left"/>
        <w:textAlignment w:val="auto"/>
        <w:rPr>
          <w:rFonts w:hint="eastAsia" w:ascii="宋体" w:hAnsi="宋体" w:eastAsia="宋体" w:cs="宋体"/>
          <w:b/>
          <w:bCs w:val="0"/>
          <w:kern w:val="2"/>
          <w:sz w:val="24"/>
          <w:szCs w:val="24"/>
          <w:lang w:val="en-US" w:eastAsia="zh-CN"/>
        </w:rPr>
      </w:pPr>
      <w:r>
        <w:rPr>
          <w:rFonts w:hint="eastAsia" w:ascii="宋体" w:hAnsi="宋体" w:eastAsia="宋体" w:cs="宋体"/>
          <w:b w:val="0"/>
          <w:bCs/>
          <w:kern w:val="2"/>
          <w:sz w:val="24"/>
          <w:szCs w:val="24"/>
          <w:lang w:val="en-US" w:eastAsia="zh-CN"/>
        </w:rPr>
        <w:t>3.2.1.3空调自动控制系统设计</w:t>
      </w:r>
    </w:p>
    <w:p>
      <w:pPr>
        <w:pStyle w:val="5"/>
        <w:ind w:firstLine="480"/>
        <w:rPr>
          <w:rFonts w:hint="eastAsia" w:ascii="宋体" w:hAnsi="宋体" w:eastAsia="宋体" w:cs="宋体"/>
        </w:rPr>
      </w:pPr>
      <w:r>
        <w:rPr>
          <w:rFonts w:hint="eastAsia" w:ascii="宋体" w:hAnsi="宋体" w:eastAsia="宋体" w:cs="宋体"/>
        </w:rPr>
        <w:t>3.2.2</w:t>
      </w:r>
      <w:r>
        <w:rPr>
          <w:rFonts w:hint="eastAsia" w:ascii="宋体" w:hAnsi="宋体" w:eastAsia="宋体" w:cs="宋体"/>
          <w:spacing w:val="17"/>
        </w:rPr>
        <w:t xml:space="preserve"> 主辅控楼通风</w:t>
      </w:r>
      <w:r>
        <w:rPr>
          <w:rFonts w:hint="eastAsia" w:ascii="宋体" w:hAnsi="宋体" w:eastAsia="宋体" w:cs="宋体"/>
        </w:rPr>
        <w:t>空调系统</w:t>
      </w:r>
    </w:p>
    <w:p>
      <w:pPr>
        <w:pStyle w:val="6"/>
        <w:ind w:firstLine="480"/>
        <w:rPr>
          <w:rFonts w:hint="eastAsia" w:ascii="宋体" w:hAnsi="宋体" w:eastAsia="宋体" w:cs="宋体"/>
          <w:color w:val="auto"/>
        </w:rPr>
      </w:pPr>
      <w:r>
        <w:rPr>
          <w:rFonts w:hint="eastAsia" w:ascii="宋体" w:hAnsi="宋体" w:eastAsia="宋体" w:cs="宋体"/>
        </w:rPr>
        <w:fldChar w:fldCharType="begin"/>
      </w:r>
      <w:r>
        <w:rPr>
          <w:rFonts w:hint="eastAsia" w:ascii="宋体" w:hAnsi="宋体" w:eastAsia="宋体" w:cs="宋体"/>
        </w:rPr>
        <w:instrText xml:space="preserve"> HYPERLINK "file:///F:\\01-直流工程\\03-南网直流\\湘黔联网\\可研设计\\可研卷册中间稿\\2025-04-20LTT\\4.6.4.1" </w:instrText>
      </w:r>
      <w:r>
        <w:rPr>
          <w:rFonts w:hint="eastAsia" w:ascii="宋体" w:hAnsi="宋体" w:eastAsia="宋体" w:cs="宋体"/>
        </w:rPr>
        <w:fldChar w:fldCharType="separate"/>
      </w:r>
      <w:r>
        <w:rPr>
          <w:rFonts w:hint="eastAsia" w:ascii="宋体" w:hAnsi="宋体" w:eastAsia="宋体" w:cs="宋体"/>
          <w:color w:val="auto"/>
        </w:rPr>
        <w:t>3.2.2.2</w:t>
      </w:r>
      <w:r>
        <w:rPr>
          <w:rFonts w:hint="eastAsia" w:ascii="宋体" w:hAnsi="宋体" w:eastAsia="宋体" w:cs="宋体"/>
          <w:color w:val="auto"/>
        </w:rPr>
        <w:fldChar w:fldCharType="end"/>
      </w:r>
      <w:r>
        <w:rPr>
          <w:rFonts w:hint="eastAsia" w:ascii="宋体" w:hAnsi="宋体" w:eastAsia="宋体" w:cs="宋体"/>
          <w:color w:val="auto"/>
        </w:rPr>
        <w:t xml:space="preserve"> 通风方案设计</w:t>
      </w:r>
    </w:p>
    <w:p>
      <w:pPr>
        <w:pStyle w:val="6"/>
        <w:ind w:firstLine="480"/>
        <w:rPr>
          <w:rFonts w:hint="eastAsia" w:ascii="宋体" w:hAnsi="宋体" w:eastAsia="宋体" w:cs="宋体"/>
          <w:color w:val="auto"/>
        </w:rPr>
      </w:pPr>
      <w:r>
        <w:rPr>
          <w:rFonts w:hint="eastAsia" w:ascii="宋体" w:hAnsi="宋体" w:eastAsia="宋体" w:cs="宋体"/>
        </w:rPr>
        <w:fldChar w:fldCharType="begin"/>
      </w:r>
      <w:r>
        <w:rPr>
          <w:rFonts w:hint="eastAsia" w:ascii="宋体" w:hAnsi="宋体" w:eastAsia="宋体" w:cs="宋体"/>
        </w:rPr>
        <w:instrText xml:space="preserve"> HYPERLINK "file:///F:\\01-直流工程\\03-南网直流\\湘黔联网\\可研设计\\可研卷册中间稿\\2025-04-20LTT\\4.6.4.1" </w:instrText>
      </w:r>
      <w:r>
        <w:rPr>
          <w:rFonts w:hint="eastAsia" w:ascii="宋体" w:hAnsi="宋体" w:eastAsia="宋体" w:cs="宋体"/>
        </w:rPr>
        <w:fldChar w:fldCharType="separate"/>
      </w:r>
      <w:r>
        <w:rPr>
          <w:rFonts w:hint="eastAsia" w:ascii="宋体" w:hAnsi="宋体" w:eastAsia="宋体" w:cs="宋体"/>
          <w:color w:val="auto"/>
        </w:rPr>
        <w:t>3.2.2.3</w:t>
      </w:r>
      <w:r>
        <w:rPr>
          <w:rFonts w:hint="eastAsia" w:ascii="宋体" w:hAnsi="宋体" w:eastAsia="宋体" w:cs="宋体"/>
          <w:color w:val="auto"/>
        </w:rPr>
        <w:fldChar w:fldCharType="end"/>
      </w:r>
      <w:r>
        <w:rPr>
          <w:rFonts w:hint="eastAsia" w:ascii="宋体" w:hAnsi="宋体" w:eastAsia="宋体" w:cs="宋体"/>
          <w:color w:val="auto"/>
        </w:rPr>
        <w:t xml:space="preserve"> 防排烟方案设计</w:t>
      </w:r>
    </w:p>
    <w:p>
      <w:pPr>
        <w:pStyle w:val="5"/>
        <w:ind w:firstLine="480"/>
        <w:rPr>
          <w:rFonts w:hint="eastAsia" w:ascii="宋体" w:hAnsi="宋体" w:eastAsia="宋体" w:cs="宋体"/>
        </w:rPr>
      </w:pPr>
      <w:r>
        <w:rPr>
          <w:rFonts w:hint="eastAsia" w:ascii="宋体" w:hAnsi="宋体" w:eastAsia="宋体" w:cs="宋体"/>
        </w:rPr>
        <w:t>3.2.3</w:t>
      </w:r>
      <w:r>
        <w:rPr>
          <w:rFonts w:hint="eastAsia" w:ascii="宋体" w:hAnsi="宋体" w:eastAsia="宋体" w:cs="宋体"/>
          <w:spacing w:val="17"/>
        </w:rPr>
        <w:t xml:space="preserve"> 综合楼及警传室通风</w:t>
      </w:r>
      <w:r>
        <w:rPr>
          <w:rFonts w:hint="eastAsia" w:ascii="宋体" w:hAnsi="宋体" w:eastAsia="宋体" w:cs="宋体"/>
        </w:rPr>
        <w:t>空调系统</w:t>
      </w:r>
    </w:p>
    <w:p>
      <w:pPr>
        <w:pStyle w:val="5"/>
        <w:ind w:firstLine="480"/>
        <w:rPr>
          <w:rFonts w:hint="eastAsia" w:ascii="宋体" w:hAnsi="宋体" w:eastAsia="宋体" w:cs="宋体"/>
        </w:rPr>
      </w:pPr>
      <w:r>
        <w:rPr>
          <w:rFonts w:hint="eastAsia" w:ascii="宋体" w:hAnsi="宋体" w:eastAsia="宋体" w:cs="宋体"/>
        </w:rPr>
        <w:t>3.2.4</w:t>
      </w:r>
      <w:r>
        <w:rPr>
          <w:rFonts w:hint="eastAsia" w:ascii="宋体" w:hAnsi="宋体" w:eastAsia="宋体" w:cs="宋体"/>
          <w:spacing w:val="17"/>
        </w:rPr>
        <w:t xml:space="preserve"> 500kV GIS室通风</w:t>
      </w:r>
      <w:r>
        <w:rPr>
          <w:rFonts w:hint="eastAsia" w:ascii="宋体" w:hAnsi="宋体" w:eastAsia="宋体" w:cs="宋体"/>
        </w:rPr>
        <w:t>系统</w:t>
      </w:r>
    </w:p>
    <w:p>
      <w:pPr>
        <w:pStyle w:val="5"/>
        <w:ind w:firstLine="480"/>
        <w:rPr>
          <w:rFonts w:hint="eastAsia" w:ascii="宋体" w:hAnsi="宋体" w:eastAsia="宋体" w:cs="宋体"/>
        </w:rPr>
      </w:pPr>
      <w:r>
        <w:rPr>
          <w:rFonts w:hint="eastAsia" w:ascii="宋体" w:hAnsi="宋体" w:eastAsia="宋体" w:cs="宋体"/>
        </w:rPr>
        <w:t xml:space="preserve">3.2.5  </w:t>
      </w:r>
      <w:r>
        <w:rPr>
          <w:rFonts w:hint="eastAsia" w:ascii="宋体" w:hAnsi="宋体" w:eastAsia="宋体" w:cs="宋体"/>
          <w:spacing w:val="17"/>
        </w:rPr>
        <w:t>500kV继电器小室通风空调</w:t>
      </w:r>
    </w:p>
    <w:p>
      <w:pPr>
        <w:pStyle w:val="5"/>
        <w:ind w:firstLine="480"/>
        <w:rPr>
          <w:rFonts w:hint="eastAsia" w:ascii="宋体" w:hAnsi="宋体" w:eastAsia="宋体" w:cs="宋体"/>
          <w:spacing w:val="-2"/>
        </w:rPr>
      </w:pPr>
      <w:r>
        <w:rPr>
          <w:rFonts w:hint="eastAsia" w:ascii="宋体" w:hAnsi="宋体" w:eastAsia="宋体" w:cs="宋体"/>
        </w:rPr>
        <w:t xml:space="preserve">3.2.6  </w:t>
      </w:r>
      <w:r>
        <w:rPr>
          <w:rFonts w:hint="eastAsia" w:ascii="宋体" w:hAnsi="宋体" w:eastAsia="宋体" w:cs="宋体"/>
          <w:spacing w:val="17"/>
        </w:rPr>
        <w:t>10kV及380V配电室通风空调</w:t>
      </w:r>
    </w:p>
    <w:p>
      <w:pPr>
        <w:pStyle w:val="5"/>
        <w:ind w:firstLine="480"/>
        <w:rPr>
          <w:rFonts w:hint="eastAsia" w:ascii="宋体" w:hAnsi="宋体" w:eastAsia="宋体" w:cs="宋体"/>
          <w:spacing w:val="-2"/>
        </w:rPr>
      </w:pPr>
      <w:r>
        <w:rPr>
          <w:rFonts w:hint="eastAsia" w:ascii="宋体" w:hAnsi="宋体" w:eastAsia="宋体" w:cs="宋体"/>
        </w:rPr>
        <w:t>3.2.7 车库、综合水泵房</w:t>
      </w:r>
      <w:r>
        <w:rPr>
          <w:rFonts w:hint="eastAsia" w:ascii="宋体" w:hAnsi="宋体" w:eastAsia="宋体" w:cs="宋体"/>
          <w:spacing w:val="17"/>
        </w:rPr>
        <w:t>通风空调</w:t>
      </w:r>
    </w:p>
    <w:p>
      <w:pPr>
        <w:pStyle w:val="5"/>
        <w:ind w:firstLine="480"/>
        <w:rPr>
          <w:rFonts w:hint="eastAsia" w:ascii="宋体" w:hAnsi="宋体" w:eastAsia="宋体" w:cs="宋体"/>
          <w:spacing w:val="-2"/>
        </w:rPr>
      </w:pPr>
      <w:r>
        <w:rPr>
          <w:rFonts w:hint="eastAsia" w:ascii="宋体" w:hAnsi="宋体" w:eastAsia="宋体" w:cs="宋体"/>
        </w:rPr>
        <w:t>3.2.8 专用品库、一次备品备件库通</w:t>
      </w:r>
      <w:r>
        <w:rPr>
          <w:rFonts w:hint="eastAsia" w:ascii="宋体" w:hAnsi="宋体" w:eastAsia="宋体" w:cs="宋体"/>
          <w:spacing w:val="17"/>
        </w:rPr>
        <w:t>风空调</w:t>
      </w:r>
    </w:p>
    <w:p>
      <w:pPr>
        <w:pStyle w:val="5"/>
        <w:ind w:firstLine="480"/>
        <w:rPr>
          <w:rFonts w:hint="eastAsia" w:ascii="宋体" w:hAnsi="宋体" w:eastAsia="宋体" w:cs="宋体"/>
          <w:spacing w:val="-2"/>
        </w:rPr>
      </w:pPr>
      <w:r>
        <w:rPr>
          <w:rFonts w:hint="eastAsia" w:ascii="宋体" w:hAnsi="宋体" w:eastAsia="宋体" w:cs="宋体"/>
        </w:rPr>
        <w:t>3.2.9 二次备品库、阀备品库、检修用房通</w:t>
      </w:r>
      <w:r>
        <w:rPr>
          <w:rFonts w:hint="eastAsia" w:ascii="宋体" w:hAnsi="宋体" w:eastAsia="宋体" w:cs="宋体"/>
          <w:spacing w:val="17"/>
        </w:rPr>
        <w:t>风空调</w:t>
      </w:r>
    </w:p>
    <w:p>
      <w:pPr>
        <w:pStyle w:val="5"/>
        <w:ind w:firstLine="480"/>
        <w:rPr>
          <w:rFonts w:hint="eastAsia" w:ascii="宋体" w:hAnsi="宋体" w:eastAsia="宋体" w:cs="宋体"/>
          <w:spacing w:val="-2"/>
        </w:rPr>
      </w:pPr>
      <w:r>
        <w:rPr>
          <w:rFonts w:hint="eastAsia" w:ascii="宋体" w:hAnsi="宋体" w:eastAsia="宋体" w:cs="宋体"/>
        </w:rPr>
        <w:t>3.2.10 融冰阀室</w:t>
      </w:r>
    </w:p>
    <w:p>
      <w:pPr>
        <w:bidi w:val="0"/>
        <w:spacing w:line="240" w:lineRule="auto"/>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答复：现阶段尚未有详细布置，投标方参考本次招标范围内相关建筑图进行估算工程量。</w:t>
      </w:r>
    </w:p>
    <w:p>
      <w:pPr>
        <w:numPr>
          <w:ilvl w:val="0"/>
          <w:numId w:val="0"/>
        </w:numPr>
        <w:adjustRightInd/>
        <w:spacing w:line="360" w:lineRule="auto"/>
        <w:jc w:val="left"/>
        <w:textAlignment w:val="auto"/>
        <w:rPr>
          <w:rFonts w:hint="eastAsia" w:ascii="宋体" w:hAnsi="宋体" w:eastAsia="宋体" w:cs="宋体"/>
          <w:b/>
          <w:bCs/>
          <w:color w:val="000000"/>
          <w:sz w:val="24"/>
          <w:szCs w:val="24"/>
          <w:lang w:val="en-US" w:eastAsia="zh-CN"/>
        </w:rPr>
      </w:pPr>
    </w:p>
    <w:p>
      <w:pPr>
        <w:numPr>
          <w:ilvl w:val="0"/>
          <w:numId w:val="0"/>
        </w:numPr>
        <w:adjustRightInd/>
        <w:spacing w:line="360" w:lineRule="auto"/>
        <w:ind w:firstLine="480" w:firstLineChars="200"/>
        <w:jc w:val="both"/>
        <w:textAlignment w:val="auto"/>
        <w:rPr>
          <w:rFonts w:hint="eastAsia" w:ascii="宋体" w:hAnsi="宋体" w:eastAsia="宋体" w:cs="宋体"/>
          <w:b/>
          <w:color w:val="000000"/>
          <w:sz w:val="24"/>
          <w:szCs w:val="24"/>
          <w:lang w:eastAsia="zh-CN"/>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12、</w:t>
      </w:r>
      <w:r>
        <w:rPr>
          <w:rFonts w:hint="eastAsia" w:ascii="宋体" w:hAnsi="宋体" w:eastAsia="宋体" w:cs="宋体"/>
          <w:b w:val="0"/>
          <w:bCs/>
          <w:color w:val="000000" w:themeColor="text1"/>
          <w:kern w:val="2"/>
          <w:sz w:val="24"/>
          <w:szCs w:val="24"/>
          <w14:textFill>
            <w14:solidFill>
              <w14:schemeClr w14:val="tx1"/>
            </w14:solidFill>
          </w14:textFill>
        </w:rPr>
        <w:t>通风空调系统</w:t>
      </w:r>
      <w:r>
        <w:rPr>
          <w:rFonts w:hint="eastAsia" w:ascii="宋体" w:hAnsi="宋体" w:eastAsia="宋体" w:cs="宋体"/>
          <w:b w:val="0"/>
          <w:bCs/>
          <w:kern w:val="2"/>
          <w:sz w:val="24"/>
          <w:szCs w:val="24"/>
        </w:rPr>
        <w:t>技术规范书</w:t>
      </w:r>
      <w:r>
        <w:rPr>
          <w:rFonts w:hint="eastAsia" w:ascii="宋体" w:hAnsi="宋体" w:eastAsia="宋体" w:cs="宋体"/>
          <w:b w:val="0"/>
          <w:bCs/>
          <w:kern w:val="2"/>
          <w:sz w:val="24"/>
          <w:szCs w:val="24"/>
          <w:lang w:val="en-US" w:eastAsia="zh-CN"/>
        </w:rPr>
        <w:t>P12页</w:t>
      </w:r>
      <w:r>
        <w:rPr>
          <w:rFonts w:hint="eastAsia" w:ascii="宋体" w:hAnsi="宋体" w:eastAsia="宋体" w:cs="宋体"/>
          <w:b w:val="0"/>
          <w:bCs/>
          <w:color w:val="000000"/>
          <w:sz w:val="24"/>
          <w:szCs w:val="24"/>
        </w:rPr>
        <w:t>表1-8配件及辅助材料表</w:t>
      </w:r>
      <w:r>
        <w:rPr>
          <w:rFonts w:hint="eastAsia" w:ascii="宋体" w:hAnsi="宋体" w:eastAsia="宋体" w:cs="宋体"/>
          <w:b w:val="0"/>
          <w:bCs/>
          <w:color w:val="000000"/>
          <w:sz w:val="24"/>
          <w:szCs w:val="24"/>
          <w:lang w:eastAsia="zh-CN"/>
        </w:rPr>
        <w:t>：</w:t>
      </w:r>
    </w:p>
    <w:tbl>
      <w:tblPr>
        <w:tblStyle w:val="3"/>
        <w:tblW w:w="7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5"/>
        <w:gridCol w:w="3716"/>
        <w:gridCol w:w="1397"/>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95"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3716"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配件及材料名称</w:t>
            </w:r>
          </w:p>
        </w:tc>
        <w:tc>
          <w:tcPr>
            <w:tcW w:w="1397"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  注</w:t>
            </w:r>
          </w:p>
        </w:tc>
        <w:tc>
          <w:tcPr>
            <w:tcW w:w="1604" w:type="dxa"/>
            <w:noWrap w:val="0"/>
            <w:vAlign w:val="center"/>
          </w:tcPr>
          <w:p>
            <w:pPr>
              <w:snapToGrid w:val="0"/>
              <w:spacing w:line="480" w:lineRule="atLeast"/>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需要澄清问题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95"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3716"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动力电缆及附件（A级阻燃）</w:t>
            </w:r>
          </w:p>
        </w:tc>
        <w:tc>
          <w:tcPr>
            <w:tcW w:w="1397"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室外为铠装</w:t>
            </w:r>
          </w:p>
        </w:tc>
        <w:tc>
          <w:tcPr>
            <w:tcW w:w="1604" w:type="dxa"/>
            <w:noWrap w:val="0"/>
            <w:vAlign w:val="center"/>
          </w:tcPr>
          <w:p>
            <w:pPr>
              <w:snapToGrid w:val="0"/>
              <w:spacing w:line="480" w:lineRule="atLeast"/>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规格型号数量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5"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3716"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控制电缆及附件（屏蔽电缆）</w:t>
            </w:r>
          </w:p>
        </w:tc>
        <w:tc>
          <w:tcPr>
            <w:tcW w:w="1397" w:type="dxa"/>
            <w:noWrap w:val="0"/>
            <w:vAlign w:val="center"/>
          </w:tcPr>
          <w:p>
            <w:pPr>
              <w:snapToGrid w:val="0"/>
              <w:spacing w:line="480" w:lineRule="atLeast"/>
              <w:jc w:val="left"/>
              <w:rPr>
                <w:rFonts w:hint="eastAsia" w:ascii="宋体" w:hAnsi="宋体" w:eastAsia="宋体" w:cs="宋体"/>
                <w:color w:val="000000"/>
                <w:sz w:val="24"/>
                <w:szCs w:val="24"/>
              </w:rPr>
            </w:pPr>
          </w:p>
        </w:tc>
        <w:tc>
          <w:tcPr>
            <w:tcW w:w="1604" w:type="dxa"/>
            <w:noWrap w:val="0"/>
            <w:vAlign w:val="center"/>
          </w:tcPr>
          <w:p>
            <w:pPr>
              <w:snapToGrid w:val="0"/>
              <w:spacing w:line="480" w:lineRule="atLeas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规格型号数量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95"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3</w:t>
            </w:r>
          </w:p>
        </w:tc>
        <w:tc>
          <w:tcPr>
            <w:tcW w:w="3716"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电缆套管及桥架</w:t>
            </w:r>
          </w:p>
        </w:tc>
        <w:tc>
          <w:tcPr>
            <w:tcW w:w="1397" w:type="dxa"/>
            <w:noWrap w:val="0"/>
            <w:vAlign w:val="center"/>
          </w:tcPr>
          <w:p>
            <w:pPr>
              <w:snapToGrid w:val="0"/>
              <w:spacing w:line="480" w:lineRule="atLeast"/>
              <w:jc w:val="left"/>
              <w:rPr>
                <w:rFonts w:hint="eastAsia" w:ascii="宋体" w:hAnsi="宋体" w:eastAsia="宋体" w:cs="宋体"/>
                <w:color w:val="000000"/>
                <w:sz w:val="24"/>
                <w:szCs w:val="24"/>
              </w:rPr>
            </w:pPr>
          </w:p>
        </w:tc>
        <w:tc>
          <w:tcPr>
            <w:tcW w:w="1604" w:type="dxa"/>
            <w:noWrap w:val="0"/>
            <w:vAlign w:val="center"/>
          </w:tcPr>
          <w:p>
            <w:pPr>
              <w:snapToGrid w:val="0"/>
              <w:spacing w:line="480" w:lineRule="atLeas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规格型号数量</w:t>
            </w:r>
          </w:p>
        </w:tc>
      </w:tr>
    </w:tbl>
    <w:p>
      <w:pPr>
        <w:bidi w:val="0"/>
        <w:spacing w:line="240" w:lineRule="auto"/>
        <w:jc w:val="both"/>
        <w:rPr>
          <w:rFonts w:hint="eastAsia" w:ascii="宋体" w:hAnsi="宋体" w:eastAsia="宋体" w:cs="宋体"/>
          <w:color w:val="FF0000"/>
          <w:sz w:val="24"/>
          <w:szCs w:val="24"/>
          <w:lang w:val="en-US" w:eastAsia="zh-CN"/>
        </w:rPr>
      </w:pPr>
    </w:p>
    <w:p>
      <w:pPr>
        <w:bidi w:val="0"/>
        <w:spacing w:line="240" w:lineRule="auto"/>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答复：现阶段尚未有详细布置，投标方参考本次招标范围内相关建筑图自行深化配置上述内容，自行估算工程量。</w:t>
      </w:r>
    </w:p>
    <w:p>
      <w:pPr>
        <w:numPr>
          <w:ilvl w:val="0"/>
          <w:numId w:val="0"/>
        </w:numPr>
        <w:adjustRightInd/>
        <w:spacing w:line="360" w:lineRule="auto"/>
        <w:ind w:left="0" w:leftChars="0" w:firstLine="480" w:firstLineChars="200"/>
        <w:jc w:val="both"/>
        <w:textAlignment w:val="auto"/>
        <w:rPr>
          <w:rFonts w:hint="eastAsia" w:ascii="宋体" w:hAnsi="宋体" w:eastAsia="宋体" w:cs="宋体"/>
          <w:b w:val="0"/>
          <w:bCs/>
          <w:color w:val="000000"/>
          <w:kern w:val="2"/>
          <w:sz w:val="24"/>
          <w:szCs w:val="24"/>
          <w:lang w:val="en-US" w:eastAsia="zh-CN" w:bidi="ar-SA"/>
        </w:rPr>
      </w:pPr>
    </w:p>
    <w:p>
      <w:pPr>
        <w:numPr>
          <w:ilvl w:val="0"/>
          <w:numId w:val="0"/>
        </w:numPr>
        <w:adjustRightInd/>
        <w:spacing w:line="360" w:lineRule="auto"/>
        <w:ind w:left="0" w:leftChars="0" w:firstLine="480" w:firstLineChars="200"/>
        <w:jc w:val="both"/>
        <w:textAlignment w:val="auto"/>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13、</w:t>
      </w:r>
      <w:r>
        <w:rPr>
          <w:rFonts w:hint="eastAsia" w:ascii="宋体" w:hAnsi="宋体" w:eastAsia="宋体" w:cs="宋体"/>
          <w:b w:val="0"/>
          <w:bCs/>
          <w:color w:val="000000" w:themeColor="text1"/>
          <w:kern w:val="2"/>
          <w:sz w:val="24"/>
          <w:szCs w:val="24"/>
          <w14:textFill>
            <w14:solidFill>
              <w14:schemeClr w14:val="tx1"/>
            </w14:solidFill>
          </w14:textFill>
        </w:rPr>
        <w:t>通风空调系统</w:t>
      </w:r>
      <w:r>
        <w:rPr>
          <w:rFonts w:hint="eastAsia" w:ascii="宋体" w:hAnsi="宋体" w:eastAsia="宋体" w:cs="宋体"/>
          <w:b w:val="0"/>
          <w:bCs/>
          <w:kern w:val="2"/>
          <w:sz w:val="24"/>
          <w:szCs w:val="24"/>
        </w:rPr>
        <w:t>技术规范书</w:t>
      </w:r>
      <w:r>
        <w:rPr>
          <w:rFonts w:hint="eastAsia" w:ascii="宋体" w:hAnsi="宋体" w:eastAsia="宋体" w:cs="宋体"/>
          <w:b w:val="0"/>
          <w:bCs/>
          <w:kern w:val="2"/>
          <w:sz w:val="24"/>
          <w:szCs w:val="24"/>
          <w:lang w:val="en-US" w:eastAsia="zh-CN"/>
        </w:rPr>
        <w:t>P13页</w:t>
      </w:r>
      <w:r>
        <w:rPr>
          <w:rFonts w:hint="eastAsia" w:ascii="宋体" w:hAnsi="宋体" w:eastAsia="宋体" w:cs="宋体"/>
          <w:b w:val="0"/>
          <w:bCs/>
          <w:color w:val="000000"/>
          <w:sz w:val="24"/>
          <w:szCs w:val="24"/>
        </w:rPr>
        <w:t>表2-1强制性备品备件清单</w:t>
      </w:r>
      <w:r>
        <w:rPr>
          <w:rFonts w:hint="eastAsia" w:ascii="宋体" w:hAnsi="宋体" w:eastAsia="宋体" w:cs="宋体"/>
          <w:b w:val="0"/>
          <w:bCs/>
          <w:color w:val="000000"/>
          <w:sz w:val="24"/>
          <w:szCs w:val="24"/>
          <w:lang w:eastAsia="zh-CN"/>
        </w:rPr>
        <w:t>：</w:t>
      </w:r>
    </w:p>
    <w:tbl>
      <w:tblPr>
        <w:tblStyle w:val="3"/>
        <w:tblW w:w="8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0"/>
        <w:gridCol w:w="1480"/>
        <w:gridCol w:w="891"/>
        <w:gridCol w:w="2514"/>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148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名  称</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数量</w:t>
            </w:r>
          </w:p>
        </w:tc>
        <w:tc>
          <w:tcPr>
            <w:tcW w:w="2514"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  注</w:t>
            </w:r>
          </w:p>
        </w:tc>
        <w:tc>
          <w:tcPr>
            <w:tcW w:w="2906" w:type="dxa"/>
            <w:noWrap w:val="0"/>
            <w:vAlign w:val="center"/>
          </w:tcPr>
          <w:p>
            <w:pPr>
              <w:snapToGrid w:val="0"/>
              <w:spacing w:line="480" w:lineRule="atLeast"/>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需要澄清问题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压缩机</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各1套</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（分体空调除外）</w:t>
            </w:r>
          </w:p>
        </w:tc>
        <w:tc>
          <w:tcPr>
            <w:tcW w:w="2906" w:type="dxa"/>
            <w:noWrap w:val="0"/>
            <w:vAlign w:val="center"/>
          </w:tcPr>
          <w:p>
            <w:pPr>
              <w:snapToGrid w:val="0"/>
              <w:spacing w:line="480" w:lineRule="atLeast"/>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阀厅风冷螺杆压缩机1台/精密空调压缩机1台/变频空调系统压缩机1台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控制器（系统逻辑板卡）</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各1块</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各种类型的数量,其中带CPU板卡如果含有程序</w:t>
            </w:r>
            <w:r>
              <w:rPr>
                <w:rFonts w:hint="eastAsia" w:ascii="宋体" w:hAnsi="宋体" w:eastAsia="宋体" w:cs="宋体"/>
                <w:color w:val="000000"/>
                <w:spacing w:val="-8"/>
                <w:sz w:val="24"/>
                <w:szCs w:val="24"/>
              </w:rPr>
              <w:t>存储芯片，另提供已写入程序的存储芯片各2个</w:t>
            </w:r>
          </w:p>
        </w:tc>
        <w:tc>
          <w:tcPr>
            <w:tcW w:w="2906" w:type="dxa"/>
            <w:noWrap w:val="0"/>
            <w:vAlign w:val="center"/>
          </w:tcPr>
          <w:p>
            <w:pPr>
              <w:snapToGrid w:val="0"/>
              <w:spacing w:line="480" w:lineRule="atLeast"/>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请明确是：阀厅风冷螺杆热泵机主板/精密空调变频空调变频驱动板/主控楼变频机变频驱动板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6</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电磁阀</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各2个</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eastAsia" w:ascii="宋体" w:hAnsi="宋体" w:eastAsia="宋体" w:cs="宋体"/>
                <w:b/>
                <w:bCs/>
                <w:color w:val="000000"/>
                <w:sz w:val="24"/>
                <w:szCs w:val="24"/>
                <w:lang w:val="en-US"/>
              </w:rPr>
            </w:pPr>
            <w:r>
              <w:rPr>
                <w:rFonts w:hint="eastAsia" w:ascii="宋体" w:hAnsi="宋体" w:eastAsia="宋体" w:cs="宋体"/>
                <w:b/>
                <w:bCs/>
                <w:color w:val="000000"/>
                <w:sz w:val="24"/>
                <w:szCs w:val="24"/>
                <w:lang w:val="en-US" w:eastAsia="zh-CN"/>
              </w:rPr>
              <w:t>请明确是哪个系统电磁阀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开关</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各2个</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eastAsia" w:ascii="宋体" w:hAnsi="宋体" w:eastAsia="宋体" w:cs="宋体"/>
                <w:b/>
                <w:bCs/>
                <w:color w:val="000000"/>
                <w:sz w:val="24"/>
                <w:szCs w:val="24"/>
                <w:lang w:val="en-US"/>
              </w:rPr>
            </w:pPr>
            <w:r>
              <w:rPr>
                <w:rFonts w:hint="eastAsia" w:ascii="宋体" w:hAnsi="宋体" w:eastAsia="宋体" w:cs="宋体"/>
                <w:b/>
                <w:bCs/>
                <w:color w:val="000000"/>
                <w:sz w:val="24"/>
                <w:szCs w:val="24"/>
                <w:lang w:val="en-US" w:eastAsia="zh-CN"/>
              </w:rPr>
              <w:t>请明确是：规格型号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8</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水泵（含电机）</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各1台</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请明确是：阀厅空调水系统水泵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水阀（手动及电动）</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各1个</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请明确是：阀厅空调水系统电磁阀</w:t>
            </w:r>
          </w:p>
        </w:tc>
      </w:tr>
    </w:tbl>
    <w:p>
      <w:pPr>
        <w:bidi w:val="0"/>
        <w:spacing w:line="240" w:lineRule="auto"/>
        <w:jc w:val="both"/>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答复：澄清如下</w:t>
      </w:r>
      <w:bookmarkStart w:id="7" w:name="_GoBack"/>
      <w:bookmarkEnd w:id="7"/>
      <w:r>
        <w:rPr>
          <w:rFonts w:hint="eastAsia" w:ascii="宋体" w:hAnsi="宋体" w:eastAsia="宋体" w:cs="宋体"/>
          <w:color w:val="FF0000"/>
          <w:sz w:val="24"/>
          <w:szCs w:val="24"/>
          <w:lang w:val="en-US" w:eastAsia="zh-CN"/>
        </w:rPr>
        <w:t>：</w:t>
      </w:r>
    </w:p>
    <w:p>
      <w:pPr>
        <w:bidi w:val="0"/>
        <w:spacing w:line="240" w:lineRule="auto"/>
        <w:jc w:val="both"/>
        <w:rPr>
          <w:rFonts w:hint="eastAsia" w:ascii="宋体" w:hAnsi="宋体" w:eastAsia="宋体" w:cs="宋体"/>
          <w:color w:val="FF0000"/>
          <w:sz w:val="24"/>
          <w:szCs w:val="24"/>
          <w:lang w:val="en-US" w:eastAsia="zh-CN"/>
        </w:rPr>
      </w:pPr>
    </w:p>
    <w:tbl>
      <w:tblPr>
        <w:tblStyle w:val="3"/>
        <w:tblW w:w="8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0"/>
        <w:gridCol w:w="1480"/>
        <w:gridCol w:w="891"/>
        <w:gridCol w:w="2514"/>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148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名  称</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数量</w:t>
            </w:r>
          </w:p>
        </w:tc>
        <w:tc>
          <w:tcPr>
            <w:tcW w:w="2514"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  注</w:t>
            </w:r>
          </w:p>
        </w:tc>
        <w:tc>
          <w:tcPr>
            <w:tcW w:w="2906" w:type="dxa"/>
            <w:noWrap w:val="0"/>
            <w:vAlign w:val="center"/>
          </w:tcPr>
          <w:p>
            <w:pPr>
              <w:snapToGrid w:val="0"/>
              <w:spacing w:line="480" w:lineRule="atLeast"/>
              <w:jc w:val="center"/>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需要澄清问题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压缩机</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各1套</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（分体空调除外）</w:t>
            </w:r>
          </w:p>
        </w:tc>
        <w:tc>
          <w:tcPr>
            <w:tcW w:w="2906" w:type="dxa"/>
            <w:noWrap w:val="0"/>
            <w:vAlign w:val="center"/>
          </w:tcPr>
          <w:p>
            <w:pPr>
              <w:snapToGrid w:val="0"/>
              <w:spacing w:line="480" w:lineRule="atLeast"/>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澄清回复：阀厅风冷螺杆压缩机1台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4</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控制器（系统逻辑板卡）</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各1块</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各种类型的数量,其中带CPU板卡如果含有程序</w:t>
            </w:r>
            <w:r>
              <w:rPr>
                <w:rFonts w:hint="eastAsia" w:ascii="宋体" w:hAnsi="宋体" w:eastAsia="宋体" w:cs="宋体"/>
                <w:color w:val="000000"/>
                <w:spacing w:val="-8"/>
                <w:sz w:val="24"/>
                <w:szCs w:val="24"/>
              </w:rPr>
              <w:t>存储芯片，另提供已写入程序的存储芯片各2个</w:t>
            </w:r>
          </w:p>
        </w:tc>
        <w:tc>
          <w:tcPr>
            <w:tcW w:w="2906" w:type="dxa"/>
            <w:noWrap w:val="0"/>
            <w:vAlign w:val="center"/>
          </w:tcPr>
          <w:p>
            <w:pPr>
              <w:snapToGrid w:val="0"/>
              <w:spacing w:line="480" w:lineRule="atLeast"/>
              <w:jc w:val="left"/>
              <w:rPr>
                <w:rFonts w:hint="eastAsia"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澄清回复：阀厅空调系统控制器（系统逻辑板卡）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6</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电磁阀</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各2个</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default"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澄清回复：阀厅空调水系统相关电磁阀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7</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开关</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各2个</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default"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澄清回复：规格型号由投标人深化配置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8</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水泵（含电机）</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各1台</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eastAsia" w:ascii="宋体" w:hAnsi="宋体" w:eastAsia="宋体" w:cs="宋体"/>
                <w:b/>
                <w:bCs/>
                <w:color w:val="FF0000"/>
                <w:sz w:val="24"/>
                <w:szCs w:val="24"/>
              </w:rPr>
            </w:pPr>
            <w:r>
              <w:rPr>
                <w:rFonts w:hint="eastAsia" w:ascii="宋体" w:hAnsi="宋体" w:eastAsia="宋体" w:cs="宋体"/>
                <w:b/>
                <w:bCs/>
                <w:color w:val="FF0000"/>
                <w:sz w:val="24"/>
                <w:szCs w:val="24"/>
                <w:lang w:val="en-US" w:eastAsia="zh-CN"/>
              </w:rPr>
              <w:t>澄清回复：阀厅空调水系统水泵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60"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12</w:t>
            </w:r>
          </w:p>
        </w:tc>
        <w:tc>
          <w:tcPr>
            <w:tcW w:w="1480"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水阀（手动及电动）</w:t>
            </w:r>
          </w:p>
        </w:tc>
        <w:tc>
          <w:tcPr>
            <w:tcW w:w="891" w:type="dxa"/>
            <w:noWrap w:val="0"/>
            <w:vAlign w:val="center"/>
          </w:tcPr>
          <w:p>
            <w:pPr>
              <w:snapToGrid w:val="0"/>
              <w:spacing w:line="480" w:lineRule="atLeas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各1个</w:t>
            </w:r>
          </w:p>
        </w:tc>
        <w:tc>
          <w:tcPr>
            <w:tcW w:w="2514" w:type="dxa"/>
            <w:noWrap w:val="0"/>
            <w:vAlign w:val="center"/>
          </w:tcPr>
          <w:p>
            <w:pPr>
              <w:snapToGrid w:val="0"/>
              <w:spacing w:line="480" w:lineRule="atLeast"/>
              <w:jc w:val="left"/>
              <w:rPr>
                <w:rFonts w:hint="eastAsia" w:ascii="宋体" w:hAnsi="宋体" w:eastAsia="宋体" w:cs="宋体"/>
                <w:color w:val="000000"/>
                <w:sz w:val="24"/>
                <w:szCs w:val="24"/>
              </w:rPr>
            </w:pPr>
            <w:r>
              <w:rPr>
                <w:rFonts w:hint="eastAsia" w:ascii="宋体" w:hAnsi="宋体" w:eastAsia="宋体" w:cs="宋体"/>
                <w:color w:val="000000"/>
                <w:sz w:val="24"/>
                <w:szCs w:val="24"/>
              </w:rPr>
              <w:t>各类型的数量</w:t>
            </w:r>
          </w:p>
        </w:tc>
        <w:tc>
          <w:tcPr>
            <w:tcW w:w="2906" w:type="dxa"/>
            <w:noWrap w:val="0"/>
            <w:vAlign w:val="center"/>
          </w:tcPr>
          <w:p>
            <w:pPr>
              <w:snapToGrid w:val="0"/>
              <w:spacing w:line="480" w:lineRule="atLeast"/>
              <w:jc w:val="left"/>
              <w:rPr>
                <w:rFonts w:hint="default"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澄清回复：阀厅空调水系统手动及电动阀门</w:t>
            </w:r>
          </w:p>
        </w:tc>
      </w:tr>
    </w:tbl>
    <w:p>
      <w:pPr>
        <w:bidi w:val="0"/>
        <w:spacing w:line="240" w:lineRule="auto"/>
        <w:jc w:val="both"/>
        <w:rPr>
          <w:rFonts w:hint="default" w:ascii="宋体" w:hAnsi="宋体" w:eastAsia="宋体" w:cs="宋体"/>
          <w:color w:val="FF0000"/>
          <w:sz w:val="24"/>
          <w:szCs w:val="24"/>
          <w:lang w:val="en-US" w:eastAsia="zh-CN"/>
        </w:rPr>
      </w:pPr>
    </w:p>
    <w:p>
      <w:pPr>
        <w:keepNext w:val="0"/>
        <w:keepLines w:val="0"/>
        <w:widowControl/>
        <w:suppressLineNumbers w:val="0"/>
        <w:jc w:val="left"/>
        <w:rPr>
          <w:rFonts w:hint="eastAsia" w:ascii="宋体" w:hAnsi="宋体" w:eastAsia="宋体" w:cs="宋体"/>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241A7"/>
    <w:rsid w:val="00CA34A4"/>
    <w:rsid w:val="04597D02"/>
    <w:rsid w:val="0FF837F8"/>
    <w:rsid w:val="12086AC4"/>
    <w:rsid w:val="136132BF"/>
    <w:rsid w:val="19A50268"/>
    <w:rsid w:val="19BA7045"/>
    <w:rsid w:val="19F8741E"/>
    <w:rsid w:val="1DFC3255"/>
    <w:rsid w:val="2979308F"/>
    <w:rsid w:val="31745EC1"/>
    <w:rsid w:val="35DA4E73"/>
    <w:rsid w:val="36C241A7"/>
    <w:rsid w:val="3744735E"/>
    <w:rsid w:val="38646938"/>
    <w:rsid w:val="3D2441D9"/>
    <w:rsid w:val="409218CB"/>
    <w:rsid w:val="415F21DB"/>
    <w:rsid w:val="42A17571"/>
    <w:rsid w:val="45111025"/>
    <w:rsid w:val="489D5D37"/>
    <w:rsid w:val="50910665"/>
    <w:rsid w:val="55F422E9"/>
    <w:rsid w:val="5FA55B60"/>
    <w:rsid w:val="619C5EAE"/>
    <w:rsid w:val="61EC6318"/>
    <w:rsid w:val="62DF24F6"/>
    <w:rsid w:val="66155F50"/>
    <w:rsid w:val="682B24E9"/>
    <w:rsid w:val="6D2A01C0"/>
    <w:rsid w:val="6DEB384D"/>
    <w:rsid w:val="6E0031F1"/>
    <w:rsid w:val="7921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next w:val="1"/>
    <w:qFormat/>
    <w:uiPriority w:val="0"/>
    <w:pPr>
      <w:keepNext/>
      <w:keepLines/>
      <w:widowControl w:val="0"/>
      <w:spacing w:before="260" w:after="260" w:line="416" w:lineRule="atLeast"/>
      <w:jc w:val="both"/>
      <w:outlineLvl w:val="2"/>
    </w:pPr>
    <w:rPr>
      <w:rFonts w:ascii="Calibri" w:hAnsi="Calibri" w:eastAsia="宋体" w:cs="Times New Roman"/>
      <w:b/>
      <w:bCs/>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0标题3"/>
    <w:qFormat/>
    <w:uiPriority w:val="0"/>
    <w:pPr>
      <w:keepNext w:val="0"/>
      <w:keepLines w:val="0"/>
      <w:widowControl w:val="0"/>
      <w:snapToGrid w:val="0"/>
      <w:spacing w:before="0" w:after="0" w:line="360" w:lineRule="auto"/>
      <w:ind w:firstLine="200" w:firstLineChars="200"/>
      <w:jc w:val="both"/>
      <w:textAlignment w:val="auto"/>
      <w:outlineLvl w:val="2"/>
    </w:pPr>
    <w:rPr>
      <w:rFonts w:ascii="Calibri" w:hAnsi="Calibri" w:eastAsia="宋体" w:cs="Times New Roman"/>
      <w:bCs/>
      <w:kern w:val="2"/>
      <w:sz w:val="24"/>
      <w:szCs w:val="24"/>
      <w:lang w:val="en-US" w:eastAsia="zh-CN" w:bidi="ar-SA"/>
    </w:rPr>
  </w:style>
  <w:style w:type="paragraph" w:customStyle="1" w:styleId="6">
    <w:name w:val="0正文"/>
    <w:qFormat/>
    <w:uiPriority w:val="0"/>
    <w:pPr>
      <w:widowControl w:val="0"/>
      <w:snapToGrid w:val="0"/>
      <w:spacing w:line="360" w:lineRule="auto"/>
      <w:ind w:firstLine="200" w:firstLineChars="200"/>
      <w:jc w:val="both"/>
      <w:textAlignment w:val="auto"/>
    </w:pPr>
    <w:rPr>
      <w:rFonts w:ascii="Calibri" w:hAnsi="Calibri" w:eastAsia="宋体" w:cs="Times New Roman"/>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2749</Words>
  <Characters>2943</Characters>
  <Lines>0</Lines>
  <Paragraphs>0</Paragraphs>
  <TotalTime>12</TotalTime>
  <ScaleCrop>false</ScaleCrop>
  <LinksUpToDate>false</LinksUpToDate>
  <CharactersWithSpaces>2972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2026-04-09T02:54:00Z</dcterms:created>
  <dc:creator>青旧 度夕</dc:creator>
  <cp:lastModifiedBy>谷平</cp:lastModifiedBy>
  <dcterms:modified xsi:type="dcterms:W3CDTF">2026-04-15T08:09:08Z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745BB51F683C40C49B631E0B7657E201_13</vt:lpwstr>
  </property>
  <property fmtid="{D5CDD505-2E9C-101B-9397-08002B2CF9AE}" pid="4" name="KSOTemplateDocerSaveRecord">
    <vt:lpwstr>eyJoZGlkIjoiODVkNjM2YTNmNTVlMDIyYjgxOGMwZDFiNzQ0NzVlYmEiLCJ1c2VySWQiOiIyNDA4ODc4MTcifQ==</vt:lpwstr>
  </property>
</Properties>
</file>